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A20" w:rsidRPr="00D979B1" w:rsidRDefault="00AB4A20" w:rsidP="00AB4A20">
      <w:pPr>
        <w:pStyle w:val="Beschriftung"/>
        <w:rPr>
          <w:rFonts w:cs="Arial"/>
        </w:rPr>
      </w:pPr>
      <w:bookmarkStart w:id="0" w:name="_Toc494900634"/>
      <w:r w:rsidRPr="00D979B1"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r w:rsidRPr="00D979B1">
        <w:t xml:space="preserve"> </w:t>
      </w:r>
      <w:r w:rsidRPr="00D979B1">
        <w:rPr>
          <w:rFonts w:cs="Arial"/>
        </w:rPr>
        <w:t>– Zulassungsrichtlinien der Akademischen Prüfstelle</w:t>
      </w:r>
      <w:r w:rsidRPr="00D979B1">
        <w:rPr>
          <w:rStyle w:val="Funotenzeichen"/>
          <w:rFonts w:cs="Arial"/>
        </w:rPr>
        <w:footnoteReference w:id="1"/>
      </w:r>
      <w:bookmarkEnd w:id="0"/>
    </w:p>
    <w:tbl>
      <w:tblPr>
        <w:tblStyle w:val="Gitternetztabelle2Akzent22"/>
        <w:tblW w:w="0" w:type="auto"/>
        <w:tblLook w:val="04A0" w:firstRow="1" w:lastRow="0" w:firstColumn="1" w:lastColumn="0" w:noHBand="0" w:noVBand="1"/>
      </w:tblPr>
      <w:tblGrid>
        <w:gridCol w:w="4438"/>
        <w:gridCol w:w="176"/>
        <w:gridCol w:w="4458"/>
      </w:tblGrid>
      <w:tr w:rsidR="00AB4A20" w:rsidRPr="00D979B1" w:rsidTr="009758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3"/>
          </w:tcPr>
          <w:p w:rsidR="00AB4A20" w:rsidRPr="00D979B1" w:rsidRDefault="00AB4A20" w:rsidP="00975892">
            <w:pPr>
              <w:rPr>
                <w:sz w:val="2"/>
              </w:rPr>
            </w:pPr>
          </w:p>
        </w:tc>
      </w:tr>
      <w:tr w:rsidR="00AB4A20" w:rsidRPr="00D979B1" w:rsidTr="00975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3"/>
            <w:shd w:val="clear" w:color="auto" w:fill="F7CAAC" w:themeFill="accent2" w:themeFillTint="66"/>
          </w:tcPr>
          <w:p w:rsidR="00AB4A20" w:rsidRPr="00D979B1" w:rsidRDefault="00AB4A20" w:rsidP="00975892">
            <w:pPr>
              <w:rPr>
                <w:rFonts w:cs="Arial"/>
                <w:b w:val="0"/>
              </w:rPr>
            </w:pPr>
            <w:r w:rsidRPr="00D979B1">
              <w:rPr>
                <w:rFonts w:cs="Arial"/>
                <w:b w:val="0"/>
              </w:rPr>
              <w:t>Mit </w:t>
            </w:r>
            <w:r w:rsidRPr="00D979B1">
              <w:rPr>
                <w:rFonts w:cs="Arial"/>
                <w:b w:val="0"/>
                <w:bCs w:val="0"/>
              </w:rPr>
              <w:t>12-jähriger</w:t>
            </w:r>
            <w:r w:rsidRPr="00D979B1">
              <w:rPr>
                <w:rFonts w:cs="Arial"/>
                <w:b w:val="0"/>
              </w:rPr>
              <w:t> chinesischer Schulbildung und Aufnahme durch die Hochschulaufnahmeprüfung (</w:t>
            </w:r>
            <w:proofErr w:type="spellStart"/>
            <w:r w:rsidRPr="00D979B1">
              <w:rPr>
                <w:rFonts w:cs="Arial"/>
                <w:b w:val="0"/>
                <w:i/>
              </w:rPr>
              <w:t>gaokao</w:t>
            </w:r>
            <w:proofErr w:type="spellEnd"/>
            <w:r w:rsidRPr="00D979B1">
              <w:rPr>
                <w:rFonts w:cs="Arial"/>
                <w:b w:val="0"/>
              </w:rPr>
              <w:t>) an einer vom chinesischen Bildungsministerium anerkannten Hochschule haben chinesische Studienbewerber</w:t>
            </w:r>
            <w:r>
              <w:rPr>
                <w:rFonts w:cs="Arial"/>
                <w:b w:val="0"/>
              </w:rPr>
              <w:t>innen und Studienbewerber</w:t>
            </w:r>
            <w:r w:rsidRPr="00D979B1">
              <w:rPr>
                <w:rFonts w:cs="Arial"/>
                <w:b w:val="0"/>
              </w:rPr>
              <w:t xml:space="preserve"> folgende Zugangsmöglichkeiten zu einer deutschen Hochschule:</w:t>
            </w:r>
          </w:p>
          <w:p w:rsidR="00AB4A20" w:rsidRPr="00D979B1" w:rsidRDefault="00AB4A20" w:rsidP="00975892">
            <w:pPr>
              <w:rPr>
                <w:rFonts w:cs="Arial"/>
                <w:b w:val="0"/>
              </w:rPr>
            </w:pPr>
          </w:p>
        </w:tc>
      </w:tr>
      <w:tr w:rsidR="00AB4A20" w:rsidRPr="00D979B1" w:rsidTr="009758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7" w:type="dxa"/>
            <w:gridSpan w:val="2"/>
            <w:shd w:val="clear" w:color="auto" w:fill="DEEAF6" w:themeFill="accent1" w:themeFillTint="33"/>
          </w:tcPr>
          <w:p w:rsidR="00AB4A20" w:rsidRPr="00D979B1" w:rsidRDefault="00AB4A20" w:rsidP="00975892">
            <w:pPr>
              <w:jc w:val="center"/>
              <w:rPr>
                <w:rFonts w:cs="Arial"/>
                <w:b w:val="0"/>
                <w:bCs w:val="0"/>
              </w:rPr>
            </w:pPr>
            <w:r w:rsidRPr="00D979B1">
              <w:rPr>
                <w:rFonts w:cs="Arial"/>
                <w:b w:val="0"/>
                <w:bCs w:val="0"/>
              </w:rPr>
              <w:t xml:space="preserve">den direkten fachorientierten </w:t>
            </w:r>
          </w:p>
          <w:p w:rsidR="00AB4A20" w:rsidRPr="00D979B1" w:rsidRDefault="00AB4A20" w:rsidP="00975892">
            <w:pPr>
              <w:jc w:val="center"/>
              <w:rPr>
                <w:rFonts w:cs="Arial"/>
                <w:b w:val="0"/>
              </w:rPr>
            </w:pPr>
            <w:r w:rsidRPr="00D979B1">
              <w:rPr>
                <w:rFonts w:cs="Arial"/>
                <w:b w:val="0"/>
                <w:bCs w:val="0"/>
              </w:rPr>
              <w:t>Zugang zum Studium,</w:t>
            </w:r>
          </w:p>
        </w:tc>
        <w:tc>
          <w:tcPr>
            <w:tcW w:w="4561" w:type="dxa"/>
            <w:shd w:val="clear" w:color="auto" w:fill="DEEAF6" w:themeFill="accent1" w:themeFillTint="33"/>
          </w:tcPr>
          <w:p w:rsidR="00AB4A20" w:rsidRPr="00D979B1" w:rsidRDefault="00AB4A20" w:rsidP="009758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D979B1">
              <w:rPr>
                <w:rFonts w:cs="Arial"/>
                <w:bCs/>
              </w:rPr>
              <w:t>den Hochschulzugang über die Feststellungsprüfung,</w:t>
            </w:r>
          </w:p>
        </w:tc>
      </w:tr>
      <w:tr w:rsidR="00AB4A20" w:rsidRPr="00D979B1" w:rsidTr="00975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7" w:type="dxa"/>
            <w:gridSpan w:val="2"/>
            <w:shd w:val="clear" w:color="auto" w:fill="FFFFFF" w:themeFill="background1"/>
          </w:tcPr>
          <w:p w:rsidR="00AB4A20" w:rsidRPr="00D979B1" w:rsidRDefault="00AB4A20" w:rsidP="00975892">
            <w:pPr>
              <w:ind w:left="360"/>
              <w:rPr>
                <w:rFonts w:cs="Arial"/>
                <w:b w:val="0"/>
              </w:rPr>
            </w:pPr>
            <w:r w:rsidRPr="00D979B1">
              <w:rPr>
                <w:rFonts w:cs="Arial"/>
                <w:b w:val="0"/>
              </w:rPr>
              <w:t>wenn mindestens ein Semester eines vier- oder fünfjährigen Bachelor-Studiengangs an einer Schwerpunkthochschule (Hochschulen des “211-Projekts”) erfolgreich absolviert wurde, oder</w:t>
            </w:r>
          </w:p>
          <w:p w:rsidR="00AB4A20" w:rsidRPr="00D979B1" w:rsidRDefault="00AB4A20" w:rsidP="00975892">
            <w:pPr>
              <w:ind w:left="360"/>
              <w:rPr>
                <w:rFonts w:cs="Arial"/>
                <w:b w:val="0"/>
              </w:rPr>
            </w:pPr>
          </w:p>
          <w:p w:rsidR="00AB4A20" w:rsidRPr="00D979B1" w:rsidRDefault="00AB4A20" w:rsidP="00975892">
            <w:pPr>
              <w:ind w:left="360"/>
              <w:rPr>
                <w:rFonts w:cs="Arial"/>
                <w:b w:val="0"/>
              </w:rPr>
            </w:pPr>
            <w:r w:rsidRPr="00D979B1">
              <w:rPr>
                <w:rFonts w:cs="Arial"/>
                <w:b w:val="0"/>
              </w:rPr>
              <w:t>wenn mindestens drei Semester eines vier- oder fünfjährigen Bachelor-Studiengangs an einer regulären, vom chinesischen Bildungsministerium anerkannten Hochschule erfolgreich absolviert wurden.</w:t>
            </w:r>
          </w:p>
          <w:p w:rsidR="00AB4A20" w:rsidRPr="00D979B1" w:rsidRDefault="00AB4A20" w:rsidP="00975892">
            <w:pPr>
              <w:rPr>
                <w:b w:val="0"/>
              </w:rPr>
            </w:pPr>
          </w:p>
        </w:tc>
        <w:tc>
          <w:tcPr>
            <w:tcW w:w="4561" w:type="dxa"/>
            <w:shd w:val="clear" w:color="auto" w:fill="FFFFFF" w:themeFill="background1"/>
          </w:tcPr>
          <w:p w:rsidR="00AB4A20" w:rsidRPr="00D979B1" w:rsidRDefault="00AB4A20" w:rsidP="00975892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D979B1">
              <w:rPr>
                <w:rFonts w:cs="Arial"/>
              </w:rPr>
              <w:t>wenn ein oder zwei Semester eines vier- oder fünfjährigen Studiengangs an einer regulären, vom chinesischen Bildungsministerium anerkannten Hochschule erfolgreich absolviert wurden. Der Feststellungsprüfung geht im Allgemeinen der Besuch eines einjährigen Studienkollegs voraus.</w:t>
            </w:r>
          </w:p>
          <w:p w:rsidR="00AB4A20" w:rsidRPr="00D979B1" w:rsidRDefault="00AB4A20" w:rsidP="00975892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  <w:p w:rsidR="00AB4A20" w:rsidRPr="00D979B1" w:rsidRDefault="00AB4A20" w:rsidP="00975892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D979B1">
              <w:rPr>
                <w:rFonts w:cs="Arial"/>
              </w:rPr>
              <w:t>Oder, wenn ein dreijähriges chinesisches Studium (Junior College) erfolgreich absolviert wurde. Der Feststellungsprüfung geht im Allgemeinen der Besuch eines einjährigen Studienkollegs voraus.</w:t>
            </w:r>
          </w:p>
          <w:p w:rsidR="00AB4A20" w:rsidRDefault="00AB4A20" w:rsidP="00975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B4A20" w:rsidRDefault="00AB4A20" w:rsidP="00975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B4A20" w:rsidRPr="00D979B1" w:rsidRDefault="00AB4A20" w:rsidP="009758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B4A20" w:rsidRPr="00D979B1" w:rsidTr="009758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3"/>
            <w:shd w:val="clear" w:color="auto" w:fill="F7CAAC" w:themeFill="accent2" w:themeFillTint="66"/>
          </w:tcPr>
          <w:p w:rsidR="00AB4A20" w:rsidRPr="00D979B1" w:rsidRDefault="00AB4A20" w:rsidP="00975892">
            <w:pPr>
              <w:rPr>
                <w:rFonts w:cs="Arial"/>
                <w:b w:val="0"/>
              </w:rPr>
            </w:pPr>
            <w:r w:rsidRPr="00D979B1">
              <w:rPr>
                <w:rFonts w:cs="Arial"/>
                <w:b w:val="0"/>
              </w:rPr>
              <w:lastRenderedPageBreak/>
              <w:t>Mit</w:t>
            </w:r>
            <w:r w:rsidRPr="00D979B1">
              <w:rPr>
                <w:rFonts w:cs="Arial"/>
                <w:b w:val="0"/>
                <w:bCs w:val="0"/>
              </w:rPr>
              <w:t> 11-jähriger</w:t>
            </w:r>
            <w:r w:rsidRPr="00D979B1">
              <w:rPr>
                <w:rFonts w:cs="Arial"/>
                <w:b w:val="0"/>
              </w:rPr>
              <w:t> chinesischer Schulbildung und bestandener chinesischer Hochschulaufnahmeprüfung (</w:t>
            </w:r>
            <w:proofErr w:type="spellStart"/>
            <w:r w:rsidRPr="00D979B1">
              <w:rPr>
                <w:rFonts w:cs="Arial"/>
                <w:b w:val="0"/>
                <w:i/>
              </w:rPr>
              <w:t>gaokao</w:t>
            </w:r>
            <w:proofErr w:type="spellEnd"/>
            <w:r w:rsidRPr="00D979B1">
              <w:rPr>
                <w:rFonts w:cs="Arial"/>
                <w:b w:val="0"/>
              </w:rPr>
              <w:t>) haben chinesische Studienbewerber folgende Zugangsmöglichkeiten zu einer deutschen Hochschule:</w:t>
            </w:r>
          </w:p>
          <w:p w:rsidR="00AB4A20" w:rsidRPr="00D979B1" w:rsidRDefault="00AB4A20" w:rsidP="00975892">
            <w:pPr>
              <w:rPr>
                <w:rFonts w:cs="Arial"/>
                <w:b w:val="0"/>
              </w:rPr>
            </w:pPr>
          </w:p>
        </w:tc>
      </w:tr>
      <w:tr w:rsidR="00AB4A20" w:rsidRPr="00D979B1" w:rsidTr="00975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9" w:type="dxa"/>
            <w:tcBorders>
              <w:right w:val="single" w:sz="4" w:space="0" w:color="F4B083" w:themeColor="accent2" w:themeTint="99"/>
            </w:tcBorders>
            <w:shd w:val="clear" w:color="auto" w:fill="DEEAF6" w:themeFill="accent1" w:themeFillTint="33"/>
            <w:vAlign w:val="center"/>
          </w:tcPr>
          <w:p w:rsidR="00AB4A20" w:rsidRPr="00D979B1" w:rsidRDefault="00AB4A20" w:rsidP="00975892">
            <w:pPr>
              <w:jc w:val="center"/>
              <w:rPr>
                <w:rFonts w:cs="Arial"/>
                <w:b w:val="0"/>
                <w:bCs w:val="0"/>
              </w:rPr>
            </w:pPr>
            <w:r w:rsidRPr="00D979B1">
              <w:rPr>
                <w:rFonts w:cs="Arial"/>
                <w:b w:val="0"/>
                <w:bCs w:val="0"/>
              </w:rPr>
              <w:t>den direkten fachorientierten</w:t>
            </w:r>
          </w:p>
          <w:p w:rsidR="00AB4A20" w:rsidRPr="00D979B1" w:rsidRDefault="00AB4A20" w:rsidP="00975892">
            <w:pPr>
              <w:jc w:val="center"/>
              <w:rPr>
                <w:rFonts w:cs="Arial"/>
                <w:b w:val="0"/>
              </w:rPr>
            </w:pPr>
            <w:r w:rsidRPr="00D979B1">
              <w:rPr>
                <w:rFonts w:cs="Arial"/>
                <w:b w:val="0"/>
                <w:bCs w:val="0"/>
              </w:rPr>
              <w:t>Zugang zum Studium</w:t>
            </w:r>
          </w:p>
        </w:tc>
        <w:tc>
          <w:tcPr>
            <w:tcW w:w="4749" w:type="dxa"/>
            <w:gridSpan w:val="2"/>
            <w:tcBorders>
              <w:left w:val="single" w:sz="4" w:space="0" w:color="F4B083" w:themeColor="accent2" w:themeTint="99"/>
            </w:tcBorders>
            <w:shd w:val="clear" w:color="auto" w:fill="DEEAF6" w:themeFill="accent1" w:themeFillTint="33"/>
            <w:vAlign w:val="center"/>
          </w:tcPr>
          <w:p w:rsidR="00AB4A20" w:rsidRPr="00D979B1" w:rsidRDefault="00AB4A20" w:rsidP="009758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D979B1">
              <w:rPr>
                <w:rFonts w:cs="Arial"/>
                <w:bCs/>
              </w:rPr>
              <w:t>den Hochschulzugang über das Studienkolleg / Feststellungsprüfung</w:t>
            </w:r>
          </w:p>
        </w:tc>
      </w:tr>
      <w:tr w:rsidR="00AB4A20" w:rsidRPr="00D979B1" w:rsidTr="009758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9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</w:tcPr>
          <w:p w:rsidR="00AB4A20" w:rsidRPr="00D979B1" w:rsidRDefault="00AB4A20" w:rsidP="00975892">
            <w:pPr>
              <w:ind w:left="360"/>
              <w:rPr>
                <w:rFonts w:cs="Arial"/>
                <w:b w:val="0"/>
              </w:rPr>
            </w:pPr>
            <w:r w:rsidRPr="00D979B1">
              <w:rPr>
                <w:rFonts w:cs="Arial"/>
                <w:b w:val="0"/>
              </w:rPr>
              <w:t>wenn mindestens drei Semester eines vier- oder fünfjährigen Bachelor-Studiengangs an einer Schwerpunkthochschule (Hochschulen des “211-Projekts”)</w:t>
            </w:r>
          </w:p>
          <w:p w:rsidR="00AB4A20" w:rsidRPr="00D979B1" w:rsidRDefault="00AB4A20" w:rsidP="00975892">
            <w:pPr>
              <w:ind w:left="360"/>
              <w:rPr>
                <w:rFonts w:cs="Arial"/>
                <w:b w:val="0"/>
              </w:rPr>
            </w:pPr>
          </w:p>
          <w:p w:rsidR="00AB4A20" w:rsidRPr="00D979B1" w:rsidRDefault="00AB4A20" w:rsidP="00975892">
            <w:pPr>
              <w:ind w:left="360"/>
              <w:rPr>
                <w:rFonts w:cs="Arial"/>
                <w:b w:val="0"/>
              </w:rPr>
            </w:pPr>
            <w:r w:rsidRPr="00D979B1">
              <w:rPr>
                <w:rFonts w:cs="Arial"/>
                <w:b w:val="0"/>
              </w:rPr>
              <w:t>oder</w:t>
            </w:r>
          </w:p>
          <w:p w:rsidR="00AB4A20" w:rsidRPr="00D979B1" w:rsidRDefault="00AB4A20" w:rsidP="00975892">
            <w:pPr>
              <w:ind w:left="360"/>
              <w:rPr>
                <w:rFonts w:cs="Arial"/>
                <w:b w:val="0"/>
              </w:rPr>
            </w:pPr>
          </w:p>
          <w:p w:rsidR="00AB4A20" w:rsidRPr="00AB4A20" w:rsidRDefault="00AB4A20" w:rsidP="00AB4A20">
            <w:pPr>
              <w:ind w:left="360"/>
              <w:rPr>
                <w:rFonts w:cs="Arial"/>
                <w:b w:val="0"/>
              </w:rPr>
            </w:pPr>
            <w:r w:rsidRPr="00D979B1">
              <w:rPr>
                <w:rFonts w:cs="Arial"/>
                <w:b w:val="0"/>
              </w:rPr>
              <w:t>mindestens fünf Semester eines vier- oder fünfjährigen Bachelor-Studiengangs an einer regulären, vom chinesischen Bildungsministerium anerkannten Hochschule erfolgreich absolviert wurden.</w:t>
            </w:r>
          </w:p>
        </w:tc>
        <w:tc>
          <w:tcPr>
            <w:tcW w:w="4749" w:type="dxa"/>
            <w:gridSpan w:val="2"/>
            <w:tcBorders>
              <w:left w:val="single" w:sz="4" w:space="0" w:color="F4B083" w:themeColor="accent2" w:themeTint="99"/>
            </w:tcBorders>
            <w:shd w:val="clear" w:color="auto" w:fill="FFFFFF" w:themeFill="background1"/>
          </w:tcPr>
          <w:p w:rsidR="00AB4A20" w:rsidRPr="00D979B1" w:rsidRDefault="00AB4A20" w:rsidP="0097589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D979B1">
              <w:rPr>
                <w:rFonts w:cs="Arial"/>
              </w:rPr>
              <w:t xml:space="preserve">wenn mindestens ein Semester eines vier- oder fünfjährigen Bachelorstudiengangs an einer Schwerpunkthochschule (Hochschulen des “211-Projekts”) </w:t>
            </w:r>
          </w:p>
          <w:p w:rsidR="00AB4A20" w:rsidRPr="00D979B1" w:rsidRDefault="00AB4A20" w:rsidP="0097589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AB4A20" w:rsidRPr="00D979B1" w:rsidRDefault="00AB4A20" w:rsidP="0097589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D979B1">
              <w:rPr>
                <w:rFonts w:cs="Arial"/>
              </w:rPr>
              <w:t>oder</w:t>
            </w:r>
          </w:p>
          <w:p w:rsidR="00AB4A20" w:rsidRPr="00D979B1" w:rsidRDefault="00AB4A20" w:rsidP="0097589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AB4A20" w:rsidRPr="00D979B1" w:rsidRDefault="00AB4A20" w:rsidP="00975892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D979B1">
              <w:rPr>
                <w:rFonts w:cs="Arial"/>
              </w:rPr>
              <w:t>mindestens drei Semester eines vier- oder fünfjährigen Bachelor-Studiengangs an einer normalen, vom chinesischen Bildungsministerium anerkannten Hochschule erfolgreich absolviert wurden.</w:t>
            </w:r>
          </w:p>
          <w:p w:rsidR="00AB4A20" w:rsidRPr="00D979B1" w:rsidRDefault="00AB4A20" w:rsidP="00975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B0F0"/>
              </w:rPr>
            </w:pPr>
          </w:p>
          <w:p w:rsidR="00AB4A20" w:rsidRDefault="00AB4A20" w:rsidP="00975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B0F0"/>
              </w:rPr>
            </w:pPr>
          </w:p>
          <w:p w:rsidR="00AB4A20" w:rsidRDefault="00AB4A20" w:rsidP="00975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B0F0"/>
              </w:rPr>
            </w:pPr>
          </w:p>
          <w:p w:rsidR="00AB4A20" w:rsidRDefault="00AB4A20" w:rsidP="00975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B0F0"/>
              </w:rPr>
            </w:pPr>
          </w:p>
          <w:p w:rsidR="00AB4A20" w:rsidRDefault="00AB4A20" w:rsidP="00975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B0F0"/>
              </w:rPr>
            </w:pPr>
          </w:p>
          <w:p w:rsidR="00AB4A20" w:rsidRDefault="00AB4A20" w:rsidP="00975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B0F0"/>
              </w:rPr>
            </w:pPr>
          </w:p>
          <w:p w:rsidR="00AB4A20" w:rsidRDefault="00AB4A20" w:rsidP="00975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B0F0"/>
              </w:rPr>
            </w:pPr>
          </w:p>
          <w:p w:rsidR="00AB4A20" w:rsidRDefault="00AB4A20" w:rsidP="00975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B0F0"/>
              </w:rPr>
            </w:pPr>
          </w:p>
          <w:p w:rsidR="00AB4A20" w:rsidRPr="00D979B1" w:rsidRDefault="00AB4A20" w:rsidP="009758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B0F0"/>
              </w:rPr>
            </w:pPr>
          </w:p>
        </w:tc>
      </w:tr>
      <w:tr w:rsidR="00AB4A20" w:rsidRPr="00D979B1" w:rsidTr="00975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3"/>
            <w:shd w:val="clear" w:color="auto" w:fill="F7CAAC" w:themeFill="accent2" w:themeFillTint="66"/>
          </w:tcPr>
          <w:p w:rsidR="00AB4A20" w:rsidRPr="00D979B1" w:rsidRDefault="00AB4A20" w:rsidP="00AB4A20">
            <w:pPr>
              <w:rPr>
                <w:rFonts w:cs="Arial"/>
                <w:b w:val="0"/>
              </w:rPr>
            </w:pPr>
            <w:r w:rsidRPr="00D979B1">
              <w:rPr>
                <w:rFonts w:cs="Arial"/>
                <w:b w:val="0"/>
              </w:rPr>
              <w:lastRenderedPageBreak/>
              <w:t>Mit 11- oder 12-jähriger chinesischer Schulbildung:</w:t>
            </w:r>
          </w:p>
        </w:tc>
      </w:tr>
      <w:tr w:rsidR="00AB4A20" w:rsidRPr="00D979B1" w:rsidTr="009758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3"/>
            <w:shd w:val="clear" w:color="auto" w:fill="FBE4D5" w:themeFill="accent2" w:themeFillTint="33"/>
            <w:vAlign w:val="center"/>
          </w:tcPr>
          <w:p w:rsidR="00AB4A20" w:rsidRPr="00D979B1" w:rsidRDefault="00AB4A20" w:rsidP="00975892">
            <w:pPr>
              <w:jc w:val="center"/>
              <w:rPr>
                <w:rFonts w:cs="Arial"/>
                <w:b w:val="0"/>
              </w:rPr>
            </w:pPr>
            <w:r w:rsidRPr="00D979B1">
              <w:rPr>
                <w:rFonts w:cs="Arial"/>
                <w:b w:val="0"/>
                <w:bCs w:val="0"/>
              </w:rPr>
              <w:t>den direkten, nicht fachorientierten Zugang,</w:t>
            </w:r>
          </w:p>
        </w:tc>
      </w:tr>
      <w:tr w:rsidR="00AB4A20" w:rsidRPr="00D979B1" w:rsidTr="00975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3"/>
            <w:shd w:val="clear" w:color="auto" w:fill="FFFFFF" w:themeFill="background1"/>
          </w:tcPr>
          <w:p w:rsidR="00AB4A20" w:rsidRPr="00D979B1" w:rsidRDefault="00AB4A20" w:rsidP="00975892">
            <w:pPr>
              <w:ind w:left="360"/>
              <w:rPr>
                <w:rFonts w:cs="Arial"/>
                <w:b w:val="0"/>
              </w:rPr>
            </w:pPr>
            <w:r w:rsidRPr="00D979B1">
              <w:rPr>
                <w:rFonts w:cs="Arial"/>
                <w:b w:val="0"/>
              </w:rPr>
              <w:t>wenn ein vier- oder fünfjährigen Bachelorstudiengang erfolgreich absolviert wurde</w:t>
            </w:r>
            <w:r>
              <w:rPr>
                <w:rFonts w:cs="Arial"/>
                <w:b w:val="0"/>
              </w:rPr>
              <w:t>. Dies gilt auch für Absolventinnen und Absolventen</w:t>
            </w:r>
            <w:r w:rsidRPr="00D979B1">
              <w:rPr>
                <w:rFonts w:cs="Arial"/>
                <w:b w:val="0"/>
              </w:rPr>
              <w:t xml:space="preserve"> von Bachelorstudiengängen, die zwar ein Abschlusszeugnis- aber keinen Bachelortitel erhalten haben. Es liegt jedoch in der Entscheidung der aufnehmenden Hochschule, für welches Fach der Bewerber zugelassen werden kann.</w:t>
            </w:r>
          </w:p>
          <w:p w:rsidR="00AB4A20" w:rsidRPr="00D979B1" w:rsidRDefault="00AB4A20" w:rsidP="00975892">
            <w:pPr>
              <w:ind w:left="360"/>
              <w:rPr>
                <w:rFonts w:cs="Arial"/>
                <w:b w:val="0"/>
              </w:rPr>
            </w:pPr>
          </w:p>
        </w:tc>
      </w:tr>
      <w:tr w:rsidR="00AB4A20" w:rsidRPr="00D979B1" w:rsidTr="009758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3"/>
            <w:shd w:val="clear" w:color="auto" w:fill="F7CAAC" w:themeFill="accent2" w:themeFillTint="66"/>
          </w:tcPr>
          <w:p w:rsidR="00AB4A20" w:rsidRPr="00AB4A20" w:rsidRDefault="00AB4A20" w:rsidP="00AB4A20">
            <w:pPr>
              <w:rPr>
                <w:rFonts w:cs="Arial"/>
                <w:b w:val="0"/>
              </w:rPr>
            </w:pPr>
            <w:r w:rsidRPr="00D979B1">
              <w:rPr>
                <w:rFonts w:cs="Arial"/>
                <w:b w:val="0"/>
              </w:rPr>
              <w:t>Absolventen chinesischer Militärhochschulen sind (mit wenigen Ausnahmen) nur mit einem Bachelor-Abschluss für den Hochschulzugang in Deutschland qualifiziert. Folgende chinesischen Studienbewerber haben keinen Zugang zum deutschen Hochschulstudium:</w:t>
            </w:r>
            <w:bookmarkStart w:id="1" w:name="_GoBack"/>
            <w:bookmarkEnd w:id="1"/>
          </w:p>
        </w:tc>
      </w:tr>
      <w:tr w:rsidR="00AB4A20" w:rsidRPr="00D979B1" w:rsidTr="00975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8" w:type="dxa"/>
            <w:gridSpan w:val="3"/>
            <w:shd w:val="clear" w:color="auto" w:fill="FFFFFF" w:themeFill="background1"/>
          </w:tcPr>
          <w:p w:rsidR="00AB4A20" w:rsidRPr="00D979B1" w:rsidRDefault="00AB4A20" w:rsidP="00AB4A20">
            <w:pPr>
              <w:numPr>
                <w:ilvl w:val="0"/>
                <w:numId w:val="1"/>
              </w:numPr>
              <w:spacing w:after="0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 xml:space="preserve">Studierende und Absolventinnen und Absolventen </w:t>
            </w:r>
            <w:r w:rsidRPr="00D979B1">
              <w:rPr>
                <w:rFonts w:cs="Arial"/>
                <w:b w:val="0"/>
              </w:rPr>
              <w:t>eines zweijährigen Hochschulstudiums (Junior College)</w:t>
            </w:r>
          </w:p>
          <w:p w:rsidR="00AB4A20" w:rsidRPr="00D979B1" w:rsidRDefault="00AB4A20" w:rsidP="00AB4A20">
            <w:pPr>
              <w:numPr>
                <w:ilvl w:val="0"/>
                <w:numId w:val="1"/>
              </w:numPr>
              <w:spacing w:after="0"/>
              <w:rPr>
                <w:rFonts w:cs="Arial"/>
                <w:b w:val="0"/>
              </w:rPr>
            </w:pPr>
            <w:r w:rsidRPr="00D979B1">
              <w:rPr>
                <w:rFonts w:cs="Arial"/>
                <w:b w:val="0"/>
              </w:rPr>
              <w:t>Studierende, die ein dreijähriges Hochschulstudium (Junior College) noch nicht beendet haben</w:t>
            </w:r>
          </w:p>
          <w:p w:rsidR="00AB4A20" w:rsidRPr="00D979B1" w:rsidRDefault="00AB4A20" w:rsidP="00AB4A20">
            <w:pPr>
              <w:numPr>
                <w:ilvl w:val="0"/>
                <w:numId w:val="1"/>
              </w:numPr>
              <w:spacing w:after="0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Studierende und Absolventinnen und Absolventen</w:t>
            </w:r>
            <w:r w:rsidRPr="00D979B1">
              <w:rPr>
                <w:rFonts w:cs="Arial"/>
                <w:b w:val="0"/>
              </w:rPr>
              <w:t xml:space="preserve"> von </w:t>
            </w:r>
            <w:proofErr w:type="spellStart"/>
            <w:r w:rsidRPr="00D979B1">
              <w:rPr>
                <w:rFonts w:cs="Arial"/>
                <w:b w:val="0"/>
              </w:rPr>
              <w:t>gaozhi</w:t>
            </w:r>
            <w:proofErr w:type="spellEnd"/>
            <w:r w:rsidRPr="00D979B1">
              <w:rPr>
                <w:rFonts w:cs="Arial"/>
                <w:b w:val="0"/>
              </w:rPr>
              <w:t>-Studiengängen</w:t>
            </w:r>
          </w:p>
          <w:p w:rsidR="00AB4A20" w:rsidRPr="00D979B1" w:rsidRDefault="00AB4A20" w:rsidP="00AB4A20">
            <w:pPr>
              <w:numPr>
                <w:ilvl w:val="0"/>
                <w:numId w:val="1"/>
              </w:numPr>
              <w:spacing w:after="0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Studierende und Absolventinnen und Absolventen</w:t>
            </w:r>
            <w:r w:rsidRPr="00D979B1">
              <w:rPr>
                <w:rFonts w:cs="Arial"/>
                <w:b w:val="0"/>
              </w:rPr>
              <w:t xml:space="preserve"> eines Studiums an chinesischen Funkhochschulen, Fernsehhochschulen oder anderen Einrichtungen der höheren Erwachsenenbildung. Diese Studiengänge berechtigen normalerweise nicht zu einem deutschen Hochschulstudium. Allerdi</w:t>
            </w:r>
            <w:r>
              <w:rPr>
                <w:rFonts w:cs="Arial"/>
                <w:b w:val="0"/>
              </w:rPr>
              <w:t>ngs kann die APS bei Absolventinnen und Absolventen</w:t>
            </w:r>
            <w:r w:rsidRPr="00D979B1">
              <w:rPr>
                <w:rFonts w:cs="Arial"/>
                <w:b w:val="0"/>
              </w:rPr>
              <w:t xml:space="preserve"> mit einem Bachelor-Titel aus Erwachsenenstudiengängen eine Einzelfallprüfung vornehmen. Hierbei wird nach erfolgter Einreichung der Kopie des Bachelor-Zeugnisses überprüft, ob der Zugang an eine deutsche Hochschule möglich ist. Für die Überprüfung des Zeugnisses wird kein Entgelt erhoben. Besteht eine Hochschulzugang</w:t>
            </w:r>
            <w:r>
              <w:rPr>
                <w:rFonts w:cs="Arial"/>
                <w:b w:val="0"/>
              </w:rPr>
              <w:t>sberechtigung, kann die Bewerberin / der Bewerber</w:t>
            </w:r>
            <w:r w:rsidRPr="00D979B1">
              <w:rPr>
                <w:rFonts w:cs="Arial"/>
                <w:b w:val="0"/>
              </w:rPr>
              <w:t xml:space="preserve"> am Verfahren der APS teilnehmen.</w:t>
            </w:r>
          </w:p>
          <w:p w:rsidR="00AB4A20" w:rsidRPr="00AB4A20" w:rsidRDefault="00AB4A20" w:rsidP="00AB4A20">
            <w:pPr>
              <w:numPr>
                <w:ilvl w:val="0"/>
                <w:numId w:val="1"/>
              </w:numPr>
              <w:spacing w:after="0"/>
              <w:rPr>
                <w:rFonts w:cs="Arial"/>
                <w:b w:val="0"/>
              </w:rPr>
            </w:pPr>
            <w:r w:rsidRPr="00D979B1">
              <w:rPr>
                <w:rFonts w:cs="Arial"/>
                <w:b w:val="0"/>
              </w:rPr>
              <w:t>Studierende, die keinen Oberschul- (</w:t>
            </w:r>
            <w:proofErr w:type="spellStart"/>
            <w:r w:rsidRPr="00D979B1">
              <w:rPr>
                <w:rFonts w:cs="Arial"/>
                <w:b w:val="0"/>
              </w:rPr>
              <w:t>gaozhong</w:t>
            </w:r>
            <w:proofErr w:type="spellEnd"/>
            <w:r w:rsidRPr="00D979B1">
              <w:rPr>
                <w:rFonts w:cs="Arial"/>
                <w:b w:val="0"/>
              </w:rPr>
              <w:t>-) Abschluss haben (Ausnahme: Bewerber für Kunstakademien und Musikhochschulen)</w:t>
            </w:r>
          </w:p>
        </w:tc>
      </w:tr>
    </w:tbl>
    <w:p w:rsidR="0094785D" w:rsidRDefault="0078239C"/>
    <w:sectPr w:rsidR="0094785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39C" w:rsidRDefault="0078239C" w:rsidP="00AB4A20">
      <w:pPr>
        <w:spacing w:after="0" w:line="240" w:lineRule="auto"/>
      </w:pPr>
      <w:r>
        <w:separator/>
      </w:r>
    </w:p>
  </w:endnote>
  <w:endnote w:type="continuationSeparator" w:id="0">
    <w:p w:rsidR="0078239C" w:rsidRDefault="0078239C" w:rsidP="00AB4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39C" w:rsidRDefault="0078239C" w:rsidP="00AB4A20">
      <w:pPr>
        <w:spacing w:after="0" w:line="240" w:lineRule="auto"/>
      </w:pPr>
      <w:r>
        <w:separator/>
      </w:r>
    </w:p>
  </w:footnote>
  <w:footnote w:type="continuationSeparator" w:id="0">
    <w:p w:rsidR="0078239C" w:rsidRDefault="0078239C" w:rsidP="00AB4A20">
      <w:pPr>
        <w:spacing w:after="0" w:line="240" w:lineRule="auto"/>
      </w:pPr>
      <w:r>
        <w:continuationSeparator/>
      </w:r>
    </w:p>
  </w:footnote>
  <w:footnote w:id="1">
    <w:p w:rsidR="00AB4A20" w:rsidRDefault="00AB4A20" w:rsidP="00AB4A20">
      <w:pPr>
        <w:pStyle w:val="Funotentext"/>
      </w:pPr>
      <w:r>
        <w:rPr>
          <w:rStyle w:val="Funotenzeichen"/>
        </w:rPr>
        <w:footnoteRef/>
      </w:r>
      <w:r w:rsidRPr="00CF12C4">
        <w:t xml:space="preserve"> </w:t>
      </w:r>
      <w:r>
        <w:t>Akademische Prüfstelle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50424"/>
    <w:multiLevelType w:val="multilevel"/>
    <w:tmpl w:val="13565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20"/>
    <w:rsid w:val="00316646"/>
    <w:rsid w:val="0078239C"/>
    <w:rsid w:val="00AB4A20"/>
    <w:rsid w:val="00CC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EEA7C"/>
  <w15:chartTrackingRefBased/>
  <w15:docId w15:val="{8A8A6769-3145-47CC-9D35-FE4AC0BD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B4A20"/>
    <w:pPr>
      <w:spacing w:after="120" w:line="360" w:lineRule="auto"/>
      <w:jc w:val="both"/>
    </w:pPr>
    <w:rPr>
      <w:rFonts w:ascii="Arial" w:eastAsiaTheme="minorEastAsia" w:hAnsi="Arial"/>
      <w:sz w:val="24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AB4A20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unhideWhenUsed/>
    <w:rsid w:val="00AB4A2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AB4A20"/>
    <w:rPr>
      <w:rFonts w:ascii="Arial" w:eastAsiaTheme="minorEastAsia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B4A20"/>
    <w:rPr>
      <w:vertAlign w:val="superscript"/>
    </w:rPr>
  </w:style>
  <w:style w:type="table" w:customStyle="1" w:styleId="Gitternetztabelle2Akzent22">
    <w:name w:val="Gitternetztabelle 2 – Akzent 22"/>
    <w:basedOn w:val="NormaleTabelle"/>
    <w:uiPriority w:val="47"/>
    <w:rsid w:val="00AB4A20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3591</Characters>
  <Application>Microsoft Office Word</Application>
  <DocSecurity>0</DocSecurity>
  <Lines>29</Lines>
  <Paragraphs>8</Paragraphs>
  <ScaleCrop>false</ScaleCrop>
  <Company>DHBW Stuttgart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Schüle, Christopher</dc:creator>
  <cp:keywords/>
  <dc:description/>
  <cp:lastModifiedBy>Schüle, Christopher</cp:lastModifiedBy>
  <cp:revision>1</cp:revision>
  <dcterms:created xsi:type="dcterms:W3CDTF">2017-10-05T10:07:00Z</dcterms:created>
  <dcterms:modified xsi:type="dcterms:W3CDTF">2017-10-05T10:08:00Z</dcterms:modified>
</cp:coreProperties>
</file>